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CD738" w14:textId="01BBFD20" w:rsidR="00EB5D14" w:rsidRPr="00EB5D14" w:rsidRDefault="00EB5D14" w:rsidP="00EB5D14">
      <w:pPr>
        <w:rPr>
          <w:sz w:val="40"/>
          <w:szCs w:val="40"/>
          <w:rtl/>
        </w:rPr>
      </w:pPr>
      <w:r w:rsidRPr="00EB5D14">
        <w:rPr>
          <w:rFonts w:cs="Arial"/>
          <w:b/>
          <w:bCs/>
          <w:sz w:val="40"/>
          <w:szCs w:val="40"/>
          <w:rtl/>
        </w:rPr>
        <w:t>الأسس الاسترشادية للتدابير المتخذة على عمليات التأثير على أسعار الأوراق المالية في بورصة</w:t>
      </w:r>
      <w:r w:rsidRPr="00EB5D14">
        <w:rPr>
          <w:rFonts w:hint="cs"/>
          <w:b/>
          <w:bCs/>
          <w:sz w:val="40"/>
          <w:szCs w:val="40"/>
          <w:rtl/>
        </w:rPr>
        <w:t xml:space="preserve"> </w:t>
      </w:r>
      <w:r w:rsidRPr="00EB5D14">
        <w:rPr>
          <w:rFonts w:cs="Arial"/>
          <w:b/>
          <w:bCs/>
          <w:sz w:val="40"/>
          <w:szCs w:val="40"/>
          <w:rtl/>
        </w:rPr>
        <w:t>عمان</w:t>
      </w:r>
      <w:r w:rsidRPr="00EB5D14">
        <w:rPr>
          <w:rFonts w:cs="Arial" w:hint="cs"/>
          <w:b/>
          <w:bCs/>
          <w:sz w:val="40"/>
          <w:szCs w:val="40"/>
          <w:rtl/>
        </w:rPr>
        <w:t xml:space="preserve"> لسنة 2013</w:t>
      </w:r>
      <w:r w:rsidRPr="00EB5D14">
        <w:rPr>
          <w:rFonts w:cs="Arial"/>
          <w:sz w:val="40"/>
          <w:szCs w:val="40"/>
          <w:rtl/>
        </w:rPr>
        <w:t xml:space="preserve"> والصادرة استناداً لأحكام المواد</w:t>
      </w:r>
      <w:r>
        <w:rPr>
          <w:rFonts w:hint="cs"/>
          <w:sz w:val="40"/>
          <w:szCs w:val="40"/>
          <w:rtl/>
        </w:rPr>
        <w:t xml:space="preserve"> </w:t>
      </w:r>
      <w:r w:rsidRPr="00EB5D14">
        <w:rPr>
          <w:rFonts w:cs="Arial"/>
          <w:sz w:val="40"/>
          <w:szCs w:val="40"/>
          <w:rtl/>
        </w:rPr>
        <w:t>(8/ب، 12 ، 21 (22) من قانون الأوراق المالية رقم (76) لسنة 2002 والمقرة بموجب قرار</w:t>
      </w:r>
      <w:r>
        <w:rPr>
          <w:rFonts w:hint="cs"/>
          <w:sz w:val="40"/>
          <w:szCs w:val="40"/>
          <w:rtl/>
        </w:rPr>
        <w:t xml:space="preserve"> </w:t>
      </w:r>
      <w:r w:rsidRPr="00EB5D14">
        <w:rPr>
          <w:rFonts w:cs="Arial"/>
          <w:sz w:val="40"/>
          <w:szCs w:val="40"/>
          <w:rtl/>
        </w:rPr>
        <w:t>مجلس المفوضين رقم (2013/303) تاريخ 2013/8/5</w:t>
      </w:r>
    </w:p>
    <w:p w14:paraId="56F977AD" w14:textId="77777777" w:rsidR="00EB5D14" w:rsidRPr="00EB5D14" w:rsidRDefault="00EB5D14" w:rsidP="00EB5D14">
      <w:pPr>
        <w:rPr>
          <w:sz w:val="40"/>
          <w:szCs w:val="40"/>
          <w:rtl/>
        </w:rPr>
      </w:pPr>
      <w:r w:rsidRPr="00EB5D14">
        <w:rPr>
          <w:rFonts w:cs="Arial"/>
          <w:sz w:val="40"/>
          <w:szCs w:val="40"/>
          <w:rtl/>
        </w:rPr>
        <w:t>1- التدابير التي للمجلس إتخاذها على العميل في حال قيامه بالتأثير على سعر الورقة المالية خلال جلسة التداول:-</w:t>
      </w:r>
    </w:p>
    <w:p w14:paraId="3B711D43" w14:textId="77777777" w:rsidR="00EB5D14" w:rsidRPr="00EB5D14" w:rsidRDefault="00EB5D14" w:rsidP="00EB5D14">
      <w:pPr>
        <w:rPr>
          <w:sz w:val="40"/>
          <w:szCs w:val="40"/>
          <w:rtl/>
        </w:rPr>
      </w:pPr>
      <w:r w:rsidRPr="00EB5D14">
        <w:rPr>
          <w:rFonts w:cs="Arial"/>
          <w:sz w:val="40"/>
          <w:szCs w:val="40"/>
          <w:rtl/>
        </w:rPr>
        <w:t>أ- فرض غرامة مالية لا يقل مقدارها عن (250) دينار في حال قيامه بالتأثير على سعر الورقة المالية خلال جلسة التداول وقيد المخالفة في سجله لدى الهيئة.</w:t>
      </w:r>
    </w:p>
    <w:p w14:paraId="7D7C5F04" w14:textId="77777777" w:rsidR="00EB5D14" w:rsidRPr="00EB5D14" w:rsidRDefault="00EB5D14" w:rsidP="00EB5D14">
      <w:pPr>
        <w:rPr>
          <w:sz w:val="40"/>
          <w:szCs w:val="40"/>
          <w:rtl/>
        </w:rPr>
      </w:pPr>
      <w:r w:rsidRPr="00EB5D14">
        <w:rPr>
          <w:rFonts w:cs="Arial"/>
          <w:sz w:val="40"/>
          <w:szCs w:val="40"/>
          <w:rtl/>
        </w:rPr>
        <w:t>ب- يتم مضاعفة قيمة الغرامة تراكمياً في حال تكرارها من قبل العميل وقيد المخالفة في سجله لدى الهيئة.</w:t>
      </w:r>
    </w:p>
    <w:p w14:paraId="275607D4" w14:textId="77777777" w:rsidR="00EB5D14" w:rsidRPr="00EB5D14" w:rsidRDefault="00EB5D14" w:rsidP="00EB5D14">
      <w:pPr>
        <w:rPr>
          <w:sz w:val="40"/>
          <w:szCs w:val="40"/>
          <w:rtl/>
        </w:rPr>
      </w:pPr>
      <w:r w:rsidRPr="00EB5D14">
        <w:rPr>
          <w:rFonts w:cs="Arial"/>
          <w:sz w:val="40"/>
          <w:szCs w:val="40"/>
          <w:rtl/>
        </w:rPr>
        <w:t>ج للمجلس إحالة المخالفات المرتكبة الى المحكمة المختصة.</w:t>
      </w:r>
    </w:p>
    <w:p w14:paraId="2A770EBB" w14:textId="77777777" w:rsidR="00EB5D14" w:rsidRPr="00EB5D14" w:rsidRDefault="00EB5D14" w:rsidP="00EB5D14">
      <w:pPr>
        <w:rPr>
          <w:sz w:val="40"/>
          <w:szCs w:val="40"/>
          <w:rtl/>
        </w:rPr>
      </w:pPr>
      <w:r w:rsidRPr="00EB5D14">
        <w:rPr>
          <w:rFonts w:cs="Arial"/>
          <w:sz w:val="40"/>
          <w:szCs w:val="40"/>
          <w:rtl/>
        </w:rPr>
        <w:t>2- التدابير التي للمجلس إتخاذها على العميل في حال قيامه بالتأثير على سعر الورقة المالية خلال مرحلة تحديد سعر الإغلاق:</w:t>
      </w:r>
    </w:p>
    <w:p w14:paraId="347CF70C" w14:textId="77777777" w:rsidR="00EB5D14" w:rsidRPr="00EB5D14" w:rsidRDefault="00EB5D14" w:rsidP="00EB5D14">
      <w:pPr>
        <w:rPr>
          <w:sz w:val="40"/>
          <w:szCs w:val="40"/>
          <w:rtl/>
        </w:rPr>
      </w:pPr>
      <w:r w:rsidRPr="00EB5D14">
        <w:rPr>
          <w:rFonts w:cs="Arial"/>
          <w:sz w:val="40"/>
          <w:szCs w:val="40"/>
          <w:rtl/>
        </w:rPr>
        <w:t>أ- فرض غرامة مالية لا يقل مقدارها عن (300) دينار في حال قيامه بالتأثير على سعر الورقة المالية خلال مرحلة تحديد سعر الإغلاق وقيد المخالفة في سجله لدى الهيئة.</w:t>
      </w:r>
    </w:p>
    <w:p w14:paraId="391E5C67" w14:textId="77777777" w:rsidR="00EB5D14" w:rsidRPr="00EB5D14" w:rsidRDefault="00EB5D14" w:rsidP="00EB5D14">
      <w:pPr>
        <w:rPr>
          <w:sz w:val="40"/>
          <w:szCs w:val="40"/>
          <w:rtl/>
        </w:rPr>
      </w:pPr>
      <w:r w:rsidRPr="00EB5D14">
        <w:rPr>
          <w:rFonts w:cs="Arial"/>
          <w:sz w:val="40"/>
          <w:szCs w:val="40"/>
          <w:rtl/>
        </w:rPr>
        <w:t>ب- يتم مضاعفة قيمة الغرامة تراكمياً في حال تكرارها من قبل العميل وقيد المخالفة في سجله لدى الهيئة.</w:t>
      </w:r>
    </w:p>
    <w:p w14:paraId="5CCBBB79" w14:textId="39B2BF73" w:rsidR="00EB5D14" w:rsidRPr="00EB5D14" w:rsidRDefault="00EB5D14" w:rsidP="00EB5D14">
      <w:pPr>
        <w:rPr>
          <w:sz w:val="40"/>
          <w:szCs w:val="40"/>
          <w:rtl/>
        </w:rPr>
      </w:pPr>
      <w:r w:rsidRPr="00EB5D14">
        <w:rPr>
          <w:rFonts w:cs="Arial"/>
          <w:sz w:val="40"/>
          <w:szCs w:val="40"/>
          <w:rtl/>
        </w:rPr>
        <w:t>ج</w:t>
      </w:r>
      <w:r>
        <w:rPr>
          <w:rFonts w:cs="Arial" w:hint="cs"/>
          <w:sz w:val="40"/>
          <w:szCs w:val="40"/>
          <w:rtl/>
        </w:rPr>
        <w:t xml:space="preserve">- </w:t>
      </w:r>
      <w:r w:rsidRPr="00EB5D14">
        <w:rPr>
          <w:rFonts w:cs="Arial"/>
          <w:sz w:val="40"/>
          <w:szCs w:val="40"/>
          <w:rtl/>
        </w:rPr>
        <w:t>للمجلس إحالة المخالفات المرتكبة الى المحكمة المختصة.</w:t>
      </w:r>
    </w:p>
    <w:p w14:paraId="0EE40BEB" w14:textId="77777777" w:rsidR="00EB5D14" w:rsidRPr="00EB5D14" w:rsidRDefault="00EB5D14" w:rsidP="00EB5D14">
      <w:pPr>
        <w:rPr>
          <w:sz w:val="40"/>
          <w:szCs w:val="40"/>
          <w:rtl/>
        </w:rPr>
      </w:pPr>
      <w:r w:rsidRPr="00EB5D14">
        <w:rPr>
          <w:rFonts w:cs="Arial"/>
          <w:sz w:val="40"/>
          <w:szCs w:val="40"/>
          <w:rtl/>
        </w:rPr>
        <w:lastRenderedPageBreak/>
        <w:t>3- يراعى عند فرض الغرامات المشار اليها في البندين (1) و (2) أعلاه مقدار الربح الذي حققه العميل أو الخسارة التي تجنبها من عملية التأثير على السعر.</w:t>
      </w:r>
    </w:p>
    <w:p w14:paraId="5DA9EC9E" w14:textId="19677ED7" w:rsidR="00EB5D14" w:rsidRPr="00EB5D14" w:rsidRDefault="00EB5D14" w:rsidP="00EB5D14">
      <w:pPr>
        <w:rPr>
          <w:sz w:val="40"/>
          <w:szCs w:val="40"/>
          <w:rtl/>
        </w:rPr>
      </w:pPr>
      <w:r w:rsidRPr="00EB5D14">
        <w:rPr>
          <w:rFonts w:cs="Arial"/>
          <w:sz w:val="40"/>
          <w:szCs w:val="40"/>
          <w:rtl/>
        </w:rPr>
        <w:t>4- التدابير التي للمجلس إتخاذها على شركة الخدمات المالية المنفذة للأمر المؤثر على سعر الورقة المالية خلال جلسة التداول</w:t>
      </w:r>
      <w:r>
        <w:rPr>
          <w:rFonts w:hint="cs"/>
          <w:sz w:val="40"/>
          <w:szCs w:val="40"/>
          <w:rtl/>
        </w:rPr>
        <w:t>.</w:t>
      </w:r>
    </w:p>
    <w:p w14:paraId="77F6AB34" w14:textId="00D53BDC" w:rsidR="00EB5D14" w:rsidRPr="00EB5D14" w:rsidRDefault="00EB5D14" w:rsidP="00EB5D14">
      <w:pPr>
        <w:rPr>
          <w:sz w:val="40"/>
          <w:szCs w:val="40"/>
          <w:rtl/>
        </w:rPr>
      </w:pPr>
      <w:r w:rsidRPr="00EB5D14">
        <w:rPr>
          <w:rFonts w:cs="Arial"/>
          <w:sz w:val="40"/>
          <w:szCs w:val="40"/>
          <w:rtl/>
        </w:rPr>
        <w:t>أ- يتم فرض غرامة لا يقل مقدارها عن (300) دينار على شركة الخدمات المالية التي قامت بتنفيذ الأمر المؤثر على سعر الورقة المالية خلال جلسة التداول وقيد المخالفة في السجل المهني للشركة</w:t>
      </w:r>
      <w:r>
        <w:rPr>
          <w:rFonts w:hint="cs"/>
          <w:sz w:val="40"/>
          <w:szCs w:val="40"/>
          <w:rtl/>
        </w:rPr>
        <w:t xml:space="preserve"> </w:t>
      </w:r>
      <w:r w:rsidRPr="00EB5D14">
        <w:rPr>
          <w:rFonts w:cs="Arial"/>
          <w:sz w:val="40"/>
          <w:szCs w:val="40"/>
          <w:rtl/>
        </w:rPr>
        <w:t>لدى الهيئة.</w:t>
      </w:r>
    </w:p>
    <w:p w14:paraId="6A01A895" w14:textId="583B2D51" w:rsidR="00EB5D14" w:rsidRPr="00EB5D14" w:rsidRDefault="00EB5D14" w:rsidP="00EB5D14">
      <w:pPr>
        <w:rPr>
          <w:sz w:val="40"/>
          <w:szCs w:val="40"/>
          <w:rtl/>
        </w:rPr>
      </w:pPr>
      <w:r w:rsidRPr="00EB5D14">
        <w:rPr>
          <w:rFonts w:cs="Arial"/>
          <w:sz w:val="40"/>
          <w:szCs w:val="40"/>
          <w:rtl/>
        </w:rPr>
        <w:t>ب- يتم مضاعفة قيمة الغرامة تراكمياً في حال تكرارها من قبل الشركة وقيد المخالفة في السجل المهني</w:t>
      </w:r>
      <w:r>
        <w:rPr>
          <w:rFonts w:hint="cs"/>
          <w:sz w:val="40"/>
          <w:szCs w:val="40"/>
          <w:rtl/>
        </w:rPr>
        <w:t xml:space="preserve"> </w:t>
      </w:r>
      <w:r w:rsidRPr="00EB5D14">
        <w:rPr>
          <w:rFonts w:cs="Arial"/>
          <w:sz w:val="40"/>
          <w:szCs w:val="40"/>
          <w:rtl/>
        </w:rPr>
        <w:t>للشركة لدى الهيئة.</w:t>
      </w:r>
    </w:p>
    <w:p w14:paraId="389FB61C" w14:textId="3132E3D9" w:rsidR="00EB5D14" w:rsidRPr="00EB5D14" w:rsidRDefault="00EB5D14" w:rsidP="00EB5D14">
      <w:pPr>
        <w:rPr>
          <w:sz w:val="40"/>
          <w:szCs w:val="40"/>
          <w:rtl/>
        </w:rPr>
      </w:pPr>
      <w:r w:rsidRPr="00EB5D14">
        <w:rPr>
          <w:rFonts w:cs="Arial"/>
          <w:sz w:val="40"/>
          <w:szCs w:val="40"/>
          <w:rtl/>
        </w:rPr>
        <w:t>ج</w:t>
      </w:r>
      <w:r>
        <w:rPr>
          <w:rFonts w:cs="Arial" w:hint="cs"/>
          <w:sz w:val="40"/>
          <w:szCs w:val="40"/>
          <w:rtl/>
        </w:rPr>
        <w:t xml:space="preserve">- </w:t>
      </w:r>
      <w:r w:rsidRPr="00EB5D14">
        <w:rPr>
          <w:rFonts w:cs="Arial"/>
          <w:sz w:val="40"/>
          <w:szCs w:val="40"/>
          <w:rtl/>
        </w:rPr>
        <w:t>للمجلس إحالة المخالفات المرتكبة الى المحكمة المختصة.</w:t>
      </w:r>
    </w:p>
    <w:p w14:paraId="621A1E2C" w14:textId="77777777" w:rsidR="00EB5D14" w:rsidRPr="00EB5D14" w:rsidRDefault="00EB5D14" w:rsidP="00EB5D14">
      <w:pPr>
        <w:rPr>
          <w:sz w:val="40"/>
          <w:szCs w:val="40"/>
          <w:rtl/>
        </w:rPr>
      </w:pPr>
      <w:r w:rsidRPr="00EB5D14">
        <w:rPr>
          <w:rFonts w:cs="Arial"/>
          <w:sz w:val="40"/>
          <w:szCs w:val="40"/>
          <w:rtl/>
        </w:rPr>
        <w:t>5- التدابير التي للمجلس إتخاذها على شركة الخدمات المالية التي قامت بتنفيذ الأمر المؤثر على سعر الورقة المالية خلال مرحلة تحديد سعر الإغلاق:</w:t>
      </w:r>
    </w:p>
    <w:p w14:paraId="1F045B33" w14:textId="77777777" w:rsidR="00EB5D14" w:rsidRPr="00EB5D14" w:rsidRDefault="00EB5D14" w:rsidP="00EB5D14">
      <w:pPr>
        <w:rPr>
          <w:sz w:val="40"/>
          <w:szCs w:val="40"/>
          <w:rtl/>
        </w:rPr>
      </w:pPr>
      <w:r w:rsidRPr="00EB5D14">
        <w:rPr>
          <w:rFonts w:cs="Arial"/>
          <w:sz w:val="40"/>
          <w:szCs w:val="40"/>
          <w:rtl/>
        </w:rPr>
        <w:t>أ- يتم فرض غرامة لا يقل مقدارها عن (500) دينار على شركة الخدمات المالية التي قامت بتنفيذ الأمر المؤثر على سعر الورقة المالية خلال مرحلة تحديد سعر الإغلاق وقيد المخالفة في السجل المهني للشركة لدى الهيئة.</w:t>
      </w:r>
    </w:p>
    <w:p w14:paraId="052B6582" w14:textId="77777777" w:rsidR="00EB5D14" w:rsidRPr="00EB5D14" w:rsidRDefault="00EB5D14" w:rsidP="00EB5D14">
      <w:pPr>
        <w:rPr>
          <w:sz w:val="40"/>
          <w:szCs w:val="40"/>
          <w:rtl/>
        </w:rPr>
      </w:pPr>
      <w:r w:rsidRPr="00EB5D14">
        <w:rPr>
          <w:rFonts w:cs="Arial"/>
          <w:sz w:val="40"/>
          <w:szCs w:val="40"/>
          <w:rtl/>
        </w:rPr>
        <w:t>ب- يتم مضاعفة قيمة الغرامة تراكمياً في حال تكرارها من قبل الشركة وقيد المخالفة في السجل المهني للشركة لدى الهيئة.</w:t>
      </w:r>
    </w:p>
    <w:p w14:paraId="1D3C6677" w14:textId="6CE1E59F" w:rsidR="00EB5D14" w:rsidRPr="00EB5D14" w:rsidRDefault="00EB5D14" w:rsidP="00EB5D14">
      <w:pPr>
        <w:rPr>
          <w:sz w:val="40"/>
          <w:szCs w:val="40"/>
        </w:rPr>
      </w:pPr>
      <w:r w:rsidRPr="00EB5D14">
        <w:rPr>
          <w:rFonts w:cs="Arial"/>
          <w:sz w:val="40"/>
          <w:szCs w:val="40"/>
          <w:rtl/>
        </w:rPr>
        <w:t>ج للمجلس إحالة المخالفات المرتكبة الى المحكمة المختصة.</w:t>
      </w:r>
    </w:p>
    <w:sectPr w:rsidR="00EB5D14" w:rsidRPr="00EB5D14"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14"/>
    <w:rsid w:val="001C2426"/>
    <w:rsid w:val="009744FE"/>
    <w:rsid w:val="00EB5D14"/>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3C88"/>
  <w15:chartTrackingRefBased/>
  <w15:docId w15:val="{4721DCFF-FF3C-4EDF-90CA-5478927F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864823">
      <w:bodyDiv w:val="1"/>
      <w:marLeft w:val="0"/>
      <w:marRight w:val="0"/>
      <w:marTop w:val="0"/>
      <w:marBottom w:val="0"/>
      <w:divBdr>
        <w:top w:val="none" w:sz="0" w:space="0" w:color="auto"/>
        <w:left w:val="none" w:sz="0" w:space="0" w:color="auto"/>
        <w:bottom w:val="none" w:sz="0" w:space="0" w:color="auto"/>
        <w:right w:val="none" w:sz="0" w:space="0" w:color="auto"/>
      </w:divBdr>
      <w:divsChild>
        <w:div w:id="2134008526">
          <w:marLeft w:val="0"/>
          <w:marRight w:val="0"/>
          <w:marTop w:val="0"/>
          <w:marBottom w:val="0"/>
          <w:divBdr>
            <w:top w:val="single" w:sz="2" w:space="0" w:color="auto"/>
            <w:left w:val="single" w:sz="2" w:space="0" w:color="auto"/>
            <w:bottom w:val="single" w:sz="2" w:space="0" w:color="auto"/>
            <w:right w:val="single" w:sz="2" w:space="0" w:color="auto"/>
          </w:divBdr>
        </w:div>
        <w:div w:id="511575414">
          <w:marLeft w:val="0"/>
          <w:marRight w:val="0"/>
          <w:marTop w:val="0"/>
          <w:marBottom w:val="0"/>
          <w:divBdr>
            <w:top w:val="single" w:sz="2" w:space="0" w:color="auto"/>
            <w:left w:val="single" w:sz="2" w:space="0" w:color="auto"/>
            <w:bottom w:val="single" w:sz="2" w:space="0" w:color="auto"/>
            <w:right w:val="single" w:sz="2" w:space="0" w:color="auto"/>
          </w:divBdr>
        </w:div>
        <w:div w:id="436950189">
          <w:marLeft w:val="0"/>
          <w:marRight w:val="0"/>
          <w:marTop w:val="0"/>
          <w:marBottom w:val="0"/>
          <w:divBdr>
            <w:top w:val="single" w:sz="2" w:space="0" w:color="auto"/>
            <w:left w:val="single" w:sz="2" w:space="0" w:color="auto"/>
            <w:bottom w:val="single" w:sz="2" w:space="0" w:color="auto"/>
            <w:right w:val="single" w:sz="2" w:space="0" w:color="auto"/>
          </w:divBdr>
        </w:div>
        <w:div w:id="503864658">
          <w:marLeft w:val="0"/>
          <w:marRight w:val="0"/>
          <w:marTop w:val="0"/>
          <w:marBottom w:val="0"/>
          <w:divBdr>
            <w:top w:val="single" w:sz="2" w:space="0" w:color="auto"/>
            <w:left w:val="single" w:sz="2" w:space="0" w:color="auto"/>
            <w:bottom w:val="single" w:sz="2" w:space="0" w:color="auto"/>
            <w:right w:val="single" w:sz="2" w:space="0" w:color="auto"/>
          </w:divBdr>
        </w:div>
        <w:div w:id="885948128">
          <w:marLeft w:val="0"/>
          <w:marRight w:val="0"/>
          <w:marTop w:val="0"/>
          <w:marBottom w:val="0"/>
          <w:divBdr>
            <w:top w:val="single" w:sz="2" w:space="0" w:color="auto"/>
            <w:left w:val="single" w:sz="2" w:space="0" w:color="auto"/>
            <w:bottom w:val="single" w:sz="2" w:space="0" w:color="auto"/>
            <w:right w:val="single" w:sz="2" w:space="0" w:color="auto"/>
          </w:divBdr>
        </w:div>
        <w:div w:id="370112836">
          <w:marLeft w:val="0"/>
          <w:marRight w:val="0"/>
          <w:marTop w:val="0"/>
          <w:marBottom w:val="0"/>
          <w:divBdr>
            <w:top w:val="single" w:sz="2" w:space="0" w:color="auto"/>
            <w:left w:val="single" w:sz="2" w:space="0" w:color="auto"/>
            <w:bottom w:val="single" w:sz="2" w:space="0" w:color="auto"/>
            <w:right w:val="single" w:sz="2" w:space="0" w:color="auto"/>
          </w:divBdr>
        </w:div>
        <w:div w:id="1478690799">
          <w:marLeft w:val="0"/>
          <w:marRight w:val="0"/>
          <w:marTop w:val="0"/>
          <w:marBottom w:val="0"/>
          <w:divBdr>
            <w:top w:val="single" w:sz="2" w:space="0" w:color="auto"/>
            <w:left w:val="single" w:sz="2" w:space="0" w:color="auto"/>
            <w:bottom w:val="single" w:sz="2" w:space="0" w:color="auto"/>
            <w:right w:val="single" w:sz="2" w:space="0" w:color="auto"/>
          </w:divBdr>
        </w:div>
        <w:div w:id="1668361135">
          <w:marLeft w:val="0"/>
          <w:marRight w:val="0"/>
          <w:marTop w:val="0"/>
          <w:marBottom w:val="0"/>
          <w:divBdr>
            <w:top w:val="single" w:sz="2" w:space="0" w:color="auto"/>
            <w:left w:val="single" w:sz="2" w:space="0" w:color="auto"/>
            <w:bottom w:val="single" w:sz="2" w:space="0" w:color="auto"/>
            <w:right w:val="single" w:sz="2" w:space="0" w:color="auto"/>
          </w:divBdr>
        </w:div>
        <w:div w:id="2035568160">
          <w:marLeft w:val="0"/>
          <w:marRight w:val="0"/>
          <w:marTop w:val="0"/>
          <w:marBottom w:val="0"/>
          <w:divBdr>
            <w:top w:val="single" w:sz="2" w:space="0" w:color="auto"/>
            <w:left w:val="single" w:sz="2" w:space="0" w:color="auto"/>
            <w:bottom w:val="single" w:sz="2" w:space="0" w:color="auto"/>
            <w:right w:val="single" w:sz="2" w:space="0" w:color="auto"/>
          </w:divBdr>
        </w:div>
        <w:div w:id="1181974294">
          <w:marLeft w:val="0"/>
          <w:marRight w:val="0"/>
          <w:marTop w:val="0"/>
          <w:marBottom w:val="0"/>
          <w:divBdr>
            <w:top w:val="single" w:sz="2" w:space="0" w:color="auto"/>
            <w:left w:val="single" w:sz="2" w:space="0" w:color="auto"/>
            <w:bottom w:val="single" w:sz="2" w:space="0" w:color="auto"/>
            <w:right w:val="single" w:sz="2" w:space="0" w:color="auto"/>
          </w:divBdr>
        </w:div>
        <w:div w:id="523401880">
          <w:marLeft w:val="0"/>
          <w:marRight w:val="0"/>
          <w:marTop w:val="0"/>
          <w:marBottom w:val="0"/>
          <w:divBdr>
            <w:top w:val="single" w:sz="2" w:space="0" w:color="auto"/>
            <w:left w:val="single" w:sz="2" w:space="0" w:color="auto"/>
            <w:bottom w:val="single" w:sz="2" w:space="0" w:color="auto"/>
            <w:right w:val="single" w:sz="2" w:space="0" w:color="auto"/>
          </w:divBdr>
        </w:div>
        <w:div w:id="1347756749">
          <w:marLeft w:val="0"/>
          <w:marRight w:val="0"/>
          <w:marTop w:val="0"/>
          <w:marBottom w:val="0"/>
          <w:divBdr>
            <w:top w:val="single" w:sz="2" w:space="0" w:color="auto"/>
            <w:left w:val="single" w:sz="2" w:space="0" w:color="auto"/>
            <w:bottom w:val="single" w:sz="2" w:space="0" w:color="auto"/>
            <w:right w:val="single" w:sz="2" w:space="0" w:color="auto"/>
          </w:divBdr>
        </w:div>
        <w:div w:id="306127853">
          <w:marLeft w:val="0"/>
          <w:marRight w:val="0"/>
          <w:marTop w:val="0"/>
          <w:marBottom w:val="0"/>
          <w:divBdr>
            <w:top w:val="single" w:sz="2" w:space="0" w:color="auto"/>
            <w:left w:val="single" w:sz="2" w:space="0" w:color="auto"/>
            <w:bottom w:val="single" w:sz="2" w:space="0" w:color="auto"/>
            <w:right w:val="single" w:sz="2" w:space="0" w:color="auto"/>
          </w:divBdr>
        </w:div>
        <w:div w:id="1595745146">
          <w:marLeft w:val="0"/>
          <w:marRight w:val="0"/>
          <w:marTop w:val="0"/>
          <w:marBottom w:val="0"/>
          <w:divBdr>
            <w:top w:val="single" w:sz="2" w:space="0" w:color="auto"/>
            <w:left w:val="single" w:sz="2" w:space="0" w:color="auto"/>
            <w:bottom w:val="single" w:sz="2" w:space="0" w:color="auto"/>
            <w:right w:val="single" w:sz="2" w:space="0" w:color="auto"/>
          </w:divBdr>
        </w:div>
        <w:div w:id="319501241">
          <w:marLeft w:val="0"/>
          <w:marRight w:val="0"/>
          <w:marTop w:val="0"/>
          <w:marBottom w:val="0"/>
          <w:divBdr>
            <w:top w:val="single" w:sz="2" w:space="0" w:color="auto"/>
            <w:left w:val="single" w:sz="2" w:space="0" w:color="auto"/>
            <w:bottom w:val="single" w:sz="2" w:space="0" w:color="auto"/>
            <w:right w:val="single" w:sz="2" w:space="0" w:color="auto"/>
          </w:divBdr>
        </w:div>
        <w:div w:id="1646666347">
          <w:marLeft w:val="0"/>
          <w:marRight w:val="0"/>
          <w:marTop w:val="0"/>
          <w:marBottom w:val="0"/>
          <w:divBdr>
            <w:top w:val="single" w:sz="2" w:space="0" w:color="auto"/>
            <w:left w:val="single" w:sz="2" w:space="0" w:color="auto"/>
            <w:bottom w:val="single" w:sz="2" w:space="0" w:color="auto"/>
            <w:right w:val="single" w:sz="2" w:space="0" w:color="auto"/>
          </w:divBdr>
        </w:div>
        <w:div w:id="63184788">
          <w:marLeft w:val="0"/>
          <w:marRight w:val="0"/>
          <w:marTop w:val="0"/>
          <w:marBottom w:val="0"/>
          <w:divBdr>
            <w:top w:val="single" w:sz="2" w:space="0" w:color="auto"/>
            <w:left w:val="single" w:sz="2" w:space="0" w:color="auto"/>
            <w:bottom w:val="single" w:sz="2" w:space="0" w:color="auto"/>
            <w:right w:val="single" w:sz="2" w:space="0" w:color="auto"/>
          </w:divBdr>
        </w:div>
        <w:div w:id="2026780670">
          <w:marLeft w:val="0"/>
          <w:marRight w:val="0"/>
          <w:marTop w:val="0"/>
          <w:marBottom w:val="0"/>
          <w:divBdr>
            <w:top w:val="single" w:sz="2" w:space="0" w:color="auto"/>
            <w:left w:val="single" w:sz="2" w:space="0" w:color="auto"/>
            <w:bottom w:val="single" w:sz="2" w:space="0" w:color="auto"/>
            <w:right w:val="single" w:sz="2" w:space="0" w:color="auto"/>
          </w:divBdr>
        </w:div>
        <w:div w:id="445196870">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1</cp:revision>
  <dcterms:created xsi:type="dcterms:W3CDTF">2024-09-17T11:15:00Z</dcterms:created>
  <dcterms:modified xsi:type="dcterms:W3CDTF">2024-09-17T11:17:00Z</dcterms:modified>
</cp:coreProperties>
</file>